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A4BB7" w14:textId="77777777" w:rsidR="00161CA8" w:rsidRPr="003A1E85" w:rsidRDefault="00161CA8" w:rsidP="00161CA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A1E85">
        <w:rPr>
          <w:rFonts w:ascii="Times New Roman" w:hAnsi="Times New Roman" w:cs="Times New Roman"/>
          <w:sz w:val="32"/>
          <w:szCs w:val="32"/>
          <w:lang w:val="kk-KZ"/>
        </w:rPr>
        <w:t>9 Дәріс – Кадрлар мотивациясын басқару</w:t>
      </w:r>
    </w:p>
    <w:p w14:paraId="3B8778F5" w14:textId="77777777" w:rsidR="00161CA8" w:rsidRPr="003A1E85" w:rsidRDefault="00161CA8" w:rsidP="00161CA8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3A1E85">
        <w:rPr>
          <w:rFonts w:ascii="Times New Roman" w:hAnsi="Times New Roman" w:cs="Times New Roman"/>
          <w:sz w:val="32"/>
          <w:szCs w:val="32"/>
          <w:lang w:val="kk-KZ"/>
        </w:rPr>
        <w:t>Сұрақтар:</w:t>
      </w:r>
    </w:p>
    <w:p w14:paraId="573821CC" w14:textId="77777777" w:rsidR="00161CA8" w:rsidRPr="003A1E85" w:rsidRDefault="00161CA8" w:rsidP="00161CA8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A1E85">
        <w:rPr>
          <w:rFonts w:ascii="Times New Roman" w:hAnsi="Times New Roman" w:cs="Times New Roman"/>
          <w:sz w:val="32"/>
          <w:szCs w:val="32"/>
          <w:lang w:val="kk-KZ"/>
        </w:rPr>
        <w:t>Кадрлар мотивациясын басқару</w:t>
      </w:r>
    </w:p>
    <w:p w14:paraId="1F75844D" w14:textId="77777777" w:rsidR="00161CA8" w:rsidRPr="003A1E85" w:rsidRDefault="00161CA8" w:rsidP="00161CA8">
      <w:pPr>
        <w:pStyle w:val="a7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A1E85">
        <w:rPr>
          <w:rFonts w:ascii="Times New Roman" w:hAnsi="Times New Roman" w:cs="Times New Roman"/>
          <w:sz w:val="32"/>
          <w:szCs w:val="32"/>
          <w:lang w:val="kk-KZ"/>
        </w:rPr>
        <w:t>Персонал мотивациясынын жетілдіру  тетіктері</w:t>
      </w:r>
    </w:p>
    <w:p w14:paraId="7A6134BE" w14:textId="77777777" w:rsidR="00161CA8" w:rsidRPr="003A1E85" w:rsidRDefault="00161CA8" w:rsidP="00161CA8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lang w:val="kk-KZ"/>
        </w:rPr>
      </w:pPr>
      <w:r w:rsidRPr="003A1E85">
        <w:rPr>
          <w:rFonts w:ascii="Times New Roman" w:hAnsi="Times New Roman" w:cs="Times New Roman"/>
          <w:sz w:val="32"/>
          <w:szCs w:val="32"/>
          <w:lang w:val="kk-KZ"/>
        </w:rPr>
        <w:t>Персоналды басқару  менеджерінің жалпы, қабылдау, кадрлар және заң бөлімдерінің қызметін қадағалай келіп атқаратын қызметі келесідей болу керек:</w:t>
      </w:r>
    </w:p>
    <w:p w14:paraId="7E3154C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458D7A8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  <w:r w:rsidRPr="003A1E85">
        <w:rPr>
          <w:rFonts w:ascii="Times New Roman" w:hAnsi="Times New Roman" w:cs="Times New Roman"/>
          <w:sz w:val="32"/>
          <w:szCs w:val="32"/>
          <w:lang w:val="kk-KZ"/>
        </w:rPr>
        <w:t>1) жұмысқа қабылдау, уаыстыру  және жұмыстан шығаруды еңбек  заңдылықтарына, нұсқауларына, ережелеріне  және ұйым басшысының бұйрығына  сәйкес жүргізу, қызметкерлерге әр түрлі анықтамалар беру;</w:t>
      </w:r>
    </w:p>
    <w:p w14:paraId="5FA19395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  <w:lang w:val="kk-KZ"/>
        </w:rPr>
      </w:pPr>
    </w:p>
    <w:p w14:paraId="54A7AA7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2)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орындарын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тарифтеу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F43BAA6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45C5237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3)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ақы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еңбекпен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қанағаттану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қызығушылықты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мақсатында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ынталандыру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жүйесін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мотивация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механизмін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04CACEA4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366281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4)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іріктеу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орналастыру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11C00C0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A5580D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5)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жеңілдіктер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компенсацияларды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5D3DAA8D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1C4BE43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6)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кететін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шығындарды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үнемдеу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13C3DE6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C386CA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7)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қозғалысы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лауазымына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көтеру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дайындық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жүйелерін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жетілдіру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негізінде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бүгінгі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сондай-ақ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міндеттерін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шешу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мақсатында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бағдарламасын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7BAE7027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E118EA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8)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жұмыспен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қамтылу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әлеуметтік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бағдарламалар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29AEB65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C45613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9)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ұйымдағы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болу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құрамын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ұтымды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0CAFB84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C3C427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10)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жұмыстағы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жаңалықтарды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ECFD46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14848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lastRenderedPageBreak/>
        <w:t xml:space="preserve">11)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қозғалуын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денсаулығын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сақтауды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қамтамасыз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1C2E0F35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E0A330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12)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жұмыстан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себептеріне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талдау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58538388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6E9CDE7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13)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сапасы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нәтижесінің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деңгейі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болуын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қамтамасыз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228CD410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FB025A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14)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кітапшаларын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толтыру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сақталуына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құжаттарды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жүргізуді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қадағалап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отыру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73A2631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7BF81B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15)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стажын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есептеу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48E0B4D4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F86174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16)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жұмыскерлерге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қызметкерлерге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мамандарға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сыйақы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беру 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марапаттауға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мәліметтерді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дайындау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063919E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7A4660C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17)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ағымының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себептерін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зерттеу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ережелерінің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қаншалықты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орындалатының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бақылау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58EBC91A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88ED61D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18)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тәртібінің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жағдайын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ішкі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тәртіп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ережелерінің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қаншалықты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орындалатының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бақылау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4AB9176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9C4012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менеджерінің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мақсаты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қамтамасыз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пайдалану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болатындықтан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атқаратын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міндетіне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:</w:t>
      </w:r>
    </w:p>
    <w:p w14:paraId="2F6DA94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D04271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белгілерін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таңдау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435D7C52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4772822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белгілерін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бекіту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1A4B9218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30725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таңдап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әңгімесін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өткізу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DA05D36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C24AB05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өмірбаян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анкета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арыздармен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5C1C6D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5F51E42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тест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0796BE1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D084D34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қабылдануы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туралы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шешімді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жатады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0286A89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2FEADD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lastRenderedPageBreak/>
        <w:t>Кадрлық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жоспарлаудың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құрамдас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бөлігіне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қайта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дайындау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қыжеттілігінің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жоспары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кіреді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кездегі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мемлкеттік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кәсіби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басқарудағы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жауапкершілік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көпқұрлылық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яғни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шешімдерін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дайындау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іске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асыру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білімі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аналитикалық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дағдысының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деңгейін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құжаттар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мәліметтерді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дайындау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адамдармен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сөйлесу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істеу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қабілеті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7F606DD8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162ECA7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бәрі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бірінші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дайындау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әдістер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қолдануды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3B1D9850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9690023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менеджерінің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неғұрлым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міндеттеріне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келесілер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керек:</w:t>
      </w:r>
    </w:p>
    <w:p w14:paraId="4C373F1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E7B4ED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қажеттілігінің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жыл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сайынғы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есебін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5B8D260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F9187C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қызметкерге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өкілеттілікті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орындауға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жеткілікті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деңгейін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ұстап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тұру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мүмкіндігін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қамтамасыз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ететін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біліктілікті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жүйесіндегі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шараларды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7F2D387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4DD25C0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тапсырыстын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мөлшерін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құрылымын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2FDE07C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099D58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жоғарлататын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беру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мекемелерінің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тізімін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38A280A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D2D645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бағдарламалары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жоспарларын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құрастыру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бекіту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61708014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3EE6ADD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Қазіргі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таңда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мотивациялау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механизмі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Мамандық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деңгейін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ынталандыру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емтихандардың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нәтижесі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разрядын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беру,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сәйкесінше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ақы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деңгейін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жүйелі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түрде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жоғарлатып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отыруға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lastRenderedPageBreak/>
        <w:t>ынталандырар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цеді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Сонымен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бірге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кәсіби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мамандық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талаптар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есебімен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емтихандарға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барлық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разрядтары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талаптардың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құрылуы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қажеттілігіне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ынталандыру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ғана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емес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сондай-ақ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мемлекеттік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тиімділігін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да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үлесін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тигізеді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5C8673D4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D167A2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болып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табылады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Адам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алғаш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келгенде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мезгілде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бірнеше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позицияны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ұстана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отырып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ішкі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ұйымдық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қарым-қатынас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жүйесіне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қосылады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Әрбір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позиция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коллективтегі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әріптес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астындағы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адам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жетекші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ретіндегі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әлеуметтік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рөлдерін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талап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мөлшер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тәртіп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ережелерімен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анықтайтын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жиынтықтарға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сәйкес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болуы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керек.</w:t>
      </w:r>
    </w:p>
    <w:p w14:paraId="5259512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78C4D3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өзара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лайықталу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еңбекке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бейімделу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процесі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тез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ойдағыдай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жүргізілсе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жақсы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әсер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Ал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бейімделу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ойдағыдай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болу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бірнеше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жағдайлар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әсер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:</w:t>
      </w:r>
    </w:p>
    <w:p w14:paraId="6C7A37D3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7BC907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іскерлік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бағалауын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әділ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жүргізу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сондай-ақ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процесі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);</w:t>
      </w:r>
    </w:p>
    <w:p w14:paraId="07FFE88D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7F89143A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осы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белгілі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істеу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тартымдылығы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беделдігі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48D9FF50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E247ED8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еңбекті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ұымдастыру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ерекшеліктері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мотивациялық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мақсаттарын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іске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асыру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09231C0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2F81B08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ішіндегі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жүйесінің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ынғайлығы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;</w:t>
      </w:r>
    </w:p>
    <w:p w14:paraId="2331C27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FF4BA4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A1E85">
        <w:rPr>
          <w:rFonts w:ascii="Times New Roman" w:hAnsi="Times New Roman" w:cs="Times New Roman"/>
          <w:sz w:val="32"/>
          <w:szCs w:val="32"/>
        </w:rPr>
        <w:t xml:space="preserve">-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коллективте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орнаған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әлеуметтік-психологиялық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жағдайдың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ерекшелігі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4B05B3AF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4CB2A00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келген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адам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көбінде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ыңғайсыз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әңғайсыздықты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сезінеді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әсіресе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жаңадан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оқуды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бітірген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тәжірибесі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жастар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).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Уақыт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келе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осы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ортаға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бейімделеді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егер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бейімдеудің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жақсы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бағдарламасы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уақытты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үнемдеуге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Сол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менеджер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келесідей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қағидаларды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ұстану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:</w:t>
      </w:r>
    </w:p>
    <w:p w14:paraId="71170B47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C18955C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шығындарды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азайту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жаңадан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қабылданған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дұрыс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білмегендіктен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тиісді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істей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алмайды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қосымша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шығындарды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талап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етеді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Ал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бағдарламасы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шығындарды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азайтады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тез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бейімделуіне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көмектеседі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7626B9E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46B761DC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Жаңадан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келген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белгісіздігін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уайымын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әлсірету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ары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қарай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алып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алмау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қорқынышынан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туындайды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белгісіз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жұмыста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болатын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әдеттегі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құбылыс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04320792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E592CEE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ағымдығын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қысқарту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егер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жаңадан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орналасқан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орында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ыңғайсыз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керексіз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сезінсе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жұмыстан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шығып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кетуі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мүмкін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Сол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бермеу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керек.</w:t>
      </w:r>
    </w:p>
    <w:p w14:paraId="0E1D657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8CAC9F2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Жетекшілер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қызметшілердің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уақытын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үнемдеу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дұрыс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бейімделмеген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адам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бәрібір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атқару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бірақ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көмекші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қажет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Ал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көмекті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көрсететіндер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уақытын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осыған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жұмсайтын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әріптестері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басқарушылары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бойынша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жақсы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бағдарлама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әрқайсысының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уақытын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үнемдеуге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мүмкіндік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береді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36B20D7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7BBBC83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жағымды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қатынасты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жұмыспен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қанағаттандыру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Әрбір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одан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нені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күтетіндігін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ақыл-оймен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қарай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керек.</w:t>
      </w:r>
    </w:p>
    <w:p w14:paraId="283BDA76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1B38B7C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ағымы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ұйым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қымбатқа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түседі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Себебі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осы бос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орынға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тарту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ішінен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жақсысын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таңдауға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уақыт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жұмсайды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; осы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қабылдағанға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бос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тұруына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немесе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оны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атқарғаны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шығындалады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жаңадан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орналасқан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бейімділік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атқаруына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дейін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шығындар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жұмсайды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Осыған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байланысты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менеджері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ағымын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жоғарлатпауға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түрлі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әдіс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қолдану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яғни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жақсысын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таңдау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тез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бейімделуіне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жағдай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жасау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персоналды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оқыту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біліктілігін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жоғарлату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қайта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дайындау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жақсы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түрлі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lastRenderedPageBreak/>
        <w:t>сыйақы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төлеу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Сондай-ақ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кадрлар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ағымының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пайда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болу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себептерін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міндетті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түрде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яғни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жұмыстан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шығу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себептерін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зерттеп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түзетулер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енгізіп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болашақта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қайталануына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бермеу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керек.</w:t>
      </w:r>
    </w:p>
    <w:p w14:paraId="69EF6878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087A441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Менеджменттің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аса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маңызды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міндеттерінің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карамағындағы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адам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ресурстарын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пайдалану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 «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Біздің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зор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байлығымыз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адамдар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деген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тегін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айтьшмаған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'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Басшы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ойлаған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мақсатына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тиімді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жолмен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жетуі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жұмысты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дұрыс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үйлестіріп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адамдарға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жүктелген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міндетін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орындата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білуі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шешімін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жүзеге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асыру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басшы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мотивациянын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негізгі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принциптерін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қолданады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0EB5113B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5362C013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Мотивацияны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міндеттеріне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жататыны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—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амалдар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құралдар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жиынтығы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Басқарушы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мұны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негіздеген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мақсатқа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жету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ішкі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қозғаушы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кұшті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мотивтерді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)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пайдаланады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0E6F8939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7F00DE5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мінез-құлық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ерекшеліктерінің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өзіндік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себептері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бар,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Біреулер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жұмысқа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жанын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сала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кіріседі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ал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екінші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біреулер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қасақана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бас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тартады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Мүндайда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мінез-кұлықтағы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мұндай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өзгешеліктердф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;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себеп-салдарьш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іздестіру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кажет.</w:t>
      </w:r>
    </w:p>
    <w:p w14:paraId="7F520140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0806E625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Біреудің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тапсырмасьшен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адамдардың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қандай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жағдайда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істеп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жаткандығын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басшы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әрқашанда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біліп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отыруы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тиіс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Кезінде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адамдарды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қоркытьш-ұркітіп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ретінде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жүмсаған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болса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келе-келе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оларға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бас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бостандығы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берілген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ерікті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түрде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бағынатын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жұмысгы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калауынша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істейтін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жұмысшылар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қатарына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косыдды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Адамдар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неғұрлым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ерікті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болған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сайын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оларды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басқару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кұрделене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түсті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0BB7D084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25C71ED6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Бұл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бағыттағы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алғашқы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жүйелі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зерттеулер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біз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жоғарыда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атап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көрсеткендей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АҚШ-та Э. Мэйо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және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оның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қызметкерлері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«Вестерн Электрик»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компаниясындағы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Хоторне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заводында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жүргізген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болатын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Бүл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зерттеулер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көп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жылдар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бойы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жүргізілді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Мүнда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сыртқы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жағдайлар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климат,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бөлмесі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мен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машиналардың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жарықгануы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сырлануы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жүмыс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орнын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үйымдастыру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өндіріс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процестерінің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ара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шамасын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реттеу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т.б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жайттар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зерттеледі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62F6CB23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30DBDDED" w14:textId="77777777" w:rsidR="00161CA8" w:rsidRPr="003A1E85" w:rsidRDefault="00161CA8" w:rsidP="00161CA8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A1E85">
        <w:rPr>
          <w:rFonts w:ascii="Times New Roman" w:hAnsi="Times New Roman" w:cs="Times New Roman"/>
          <w:sz w:val="32"/>
          <w:szCs w:val="32"/>
        </w:rPr>
        <w:lastRenderedPageBreak/>
        <w:t>Эксперименттер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нәтижесін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бағалау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үшін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қолайлы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жағдай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жасалды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Нәтижесінде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байкалғаны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адамдар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өзін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қүрметтеуді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A1E85">
        <w:rPr>
          <w:rFonts w:ascii="Times New Roman" w:hAnsi="Times New Roman" w:cs="Times New Roman"/>
          <w:sz w:val="32"/>
          <w:szCs w:val="32"/>
        </w:rPr>
        <w:t>ұнатады</w:t>
      </w:r>
      <w:proofErr w:type="spellEnd"/>
      <w:r w:rsidRPr="003A1E85">
        <w:rPr>
          <w:rFonts w:ascii="Times New Roman" w:hAnsi="Times New Roman" w:cs="Times New Roman"/>
          <w:sz w:val="32"/>
          <w:szCs w:val="32"/>
        </w:rPr>
        <w:t>.</w:t>
      </w:r>
    </w:p>
    <w:p w14:paraId="6BB5A547" w14:textId="77777777" w:rsidR="00D94681" w:rsidRDefault="00D94681">
      <w:pPr>
        <w:rPr>
          <w:lang w:val="kk-KZ"/>
        </w:rPr>
      </w:pPr>
    </w:p>
    <w:p w14:paraId="192F2715" w14:textId="77777777" w:rsidR="00462B5E" w:rsidRPr="00462B5E" w:rsidRDefault="00D94681" w:rsidP="00462B5E">
      <w:pPr>
        <w:spacing w:after="0" w:line="240" w:lineRule="auto"/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</w:pPr>
      <w:r w:rsidRPr="00C85C78">
        <w:rPr>
          <w:rFonts w:ascii="Times New Roman" w:hAnsi="Times New Roman" w:cs="Times New Roman"/>
          <w:sz w:val="28"/>
          <w:szCs w:val="28"/>
          <w:lang w:val="kk-KZ"/>
        </w:rPr>
        <w:tab/>
      </w:r>
      <w:bookmarkStart w:id="0" w:name="_Hlk146370480"/>
      <w:r w:rsidR="00462B5E" w:rsidRPr="00462B5E">
        <w:rPr>
          <w:rFonts w:ascii="Times New Roman" w:hAnsi="Times New Roman" w:cs="Times New Roman"/>
          <w:b/>
          <w:bCs/>
          <w:kern w:val="2"/>
          <w:sz w:val="20"/>
          <w:szCs w:val="20"/>
          <w:lang w:val="kk-KZ"/>
          <w14:ligatures w14:val="standardContextual"/>
        </w:rPr>
        <w:t>Негізгі әдебиеттер:</w:t>
      </w:r>
    </w:p>
    <w:p w14:paraId="40FB0813" w14:textId="77777777" w:rsidR="00462B5E" w:rsidRPr="00462B5E" w:rsidRDefault="00462B5E" w:rsidP="00462B5E">
      <w:pPr>
        <w:spacing w:after="0"/>
        <w:rPr>
          <w:sz w:val="20"/>
          <w:szCs w:val="20"/>
          <w:lang w:val="kk-KZ"/>
        </w:rPr>
      </w:pPr>
      <w:bookmarkStart w:id="1" w:name="_Hlk176512149"/>
      <w:r w:rsidRPr="00462B5E">
        <w:rPr>
          <w:rFonts w:ascii="Times New Roman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1.</w:t>
      </w:r>
      <w:r w:rsidRPr="00462B5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""Әділетті Қазақстан: заң мен тәртіп, экономикалық өсім, қоғамдық оптимизм"</w:t>
      </w:r>
      <w:r w:rsidRPr="00462B5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 -Астана, 2024 ж. 2 қыркүйек</w:t>
      </w:r>
    </w:p>
    <w:p w14:paraId="7971AA9F" w14:textId="77777777" w:rsidR="00462B5E" w:rsidRPr="00462B5E" w:rsidRDefault="00462B5E" w:rsidP="00462B5E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62B5E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18ABA148" w14:textId="77777777" w:rsidR="00462B5E" w:rsidRPr="00462B5E" w:rsidRDefault="00462B5E" w:rsidP="00462B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 w:rsidRPr="00462B5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462B5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r w:rsidRPr="00462B5E">
        <w:rPr>
          <w:kern w:val="2"/>
          <w:sz w:val="22"/>
          <w:szCs w:val="22"/>
          <w14:ligatures w14:val="standardContextual"/>
        </w:rPr>
        <w:fldChar w:fldCharType="begin"/>
      </w:r>
      <w:r w:rsidRPr="00462B5E">
        <w:rPr>
          <w:kern w:val="2"/>
          <w:sz w:val="22"/>
          <w:szCs w:val="22"/>
          <w14:ligatures w14:val="standardContextual"/>
        </w:rPr>
        <w:instrText>HYPERLINK "http://www.adilet.zan.kz"</w:instrText>
      </w:r>
      <w:r w:rsidRPr="00462B5E">
        <w:rPr>
          <w:kern w:val="2"/>
          <w:sz w:val="22"/>
          <w:szCs w:val="22"/>
          <w14:ligatures w14:val="standardContextual"/>
        </w:rPr>
      </w:r>
      <w:r w:rsidRPr="00462B5E">
        <w:rPr>
          <w:kern w:val="2"/>
          <w:sz w:val="22"/>
          <w:szCs w:val="22"/>
          <w14:ligatures w14:val="standardContextual"/>
        </w:rPr>
        <w:fldChar w:fldCharType="separate"/>
      </w:r>
      <w:r w:rsidRPr="00462B5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single"/>
          <w:lang w:val="kk-KZ" w:eastAsia="kk-KZ"/>
        </w:rPr>
        <w:t>www.adilet.zan.kz</w:t>
      </w:r>
      <w:r w:rsidRPr="00462B5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u w:val="single"/>
          <w:lang w:val="kk-KZ" w:eastAsia="kk-KZ"/>
        </w:rPr>
        <w:fldChar w:fldCharType="end"/>
      </w:r>
    </w:p>
    <w:p w14:paraId="0B570307" w14:textId="77777777" w:rsidR="00462B5E" w:rsidRPr="00462B5E" w:rsidRDefault="00462B5E" w:rsidP="00462B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 w:rsidRPr="00462B5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462B5E"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 w:rsidRPr="00462B5E"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241BDC0A" w14:textId="77777777" w:rsidR="00462B5E" w:rsidRPr="00462B5E" w:rsidRDefault="00462B5E" w:rsidP="00462B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62B5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BD543D2" w14:textId="77777777" w:rsidR="00462B5E" w:rsidRPr="00462B5E" w:rsidRDefault="00462B5E" w:rsidP="00462B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62B5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F97C77A" w14:textId="77777777" w:rsidR="00462B5E" w:rsidRPr="00462B5E" w:rsidRDefault="00462B5E" w:rsidP="00462B5E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</w:pPr>
      <w:r w:rsidRPr="00462B5E">
        <w:rPr>
          <w:rFonts w:ascii="Times New Roman" w:hAnsi="Times New Roman" w:cs="Times New Roman"/>
          <w:kern w:val="2"/>
          <w:sz w:val="20"/>
          <w:szCs w:val="20"/>
          <w:lang w:val="kk-KZ"/>
          <w14:ligatures w14:val="standardContextual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1CCC5449" w14:textId="77777777" w:rsidR="00462B5E" w:rsidRPr="00462B5E" w:rsidRDefault="00462B5E" w:rsidP="00462B5E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62B5E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bookmarkEnd w:id="1"/>
    <w:p w14:paraId="65CA3A80" w14:textId="77777777" w:rsidR="00462B5E" w:rsidRPr="00462B5E" w:rsidRDefault="00462B5E" w:rsidP="00462B5E">
      <w:pPr>
        <w:spacing w:after="0"/>
        <w:rPr>
          <w:rFonts w:asciiTheme="majorHAnsi" w:eastAsiaTheme="majorEastAsia" w:hAnsiTheme="majorHAnsi" w:cstheme="majorBidi"/>
          <w:color w:val="0F4761" w:themeColor="accent1" w:themeShade="BF"/>
          <w:kern w:val="2"/>
          <w:sz w:val="40"/>
          <w:szCs w:val="40"/>
          <w:lang w:val="kk-KZ"/>
          <w14:ligatures w14:val="standardContextual"/>
        </w:rPr>
      </w:pPr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9. </w:t>
      </w:r>
      <w:proofErr w:type="spellStart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Асалиев</w:t>
      </w:r>
      <w:proofErr w:type="spellEnd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А.М., </w:t>
      </w:r>
      <w:proofErr w:type="spellStart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Вукович</w:t>
      </w:r>
      <w:proofErr w:type="spellEnd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Г.Г., </w:t>
      </w:r>
      <w:proofErr w:type="spellStart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Строителева</w:t>
      </w:r>
      <w:proofErr w:type="spellEnd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Т.Г</w:t>
      </w:r>
      <w:r w:rsidRPr="00462B5E">
        <w:rPr>
          <w:rFonts w:ascii="Verdana" w:eastAsiaTheme="majorEastAsia" w:hAnsi="Verdana" w:cstheme="majorBidi"/>
          <w:color w:val="222222"/>
          <w:kern w:val="2"/>
          <w:shd w:val="clear" w:color="auto" w:fill="FFFFFF"/>
          <w14:ligatures w14:val="standardContextual"/>
        </w:rPr>
        <w:t>.</w:t>
      </w:r>
      <w:r w:rsidRPr="00462B5E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Экономика и управление человеческими ресурсами</w:t>
      </w:r>
      <w:r w:rsidRPr="00462B5E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val="kk-KZ" w:eastAsia="ru-RU"/>
        </w:rPr>
        <w:t>-</w:t>
      </w:r>
      <w:r w:rsidRPr="00462B5E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- М.: НИЦ ИНФРА-М, 2024. -143 с.</w:t>
      </w:r>
    </w:p>
    <w:p w14:paraId="1A33335E" w14:textId="77777777" w:rsidR="00462B5E" w:rsidRPr="00462B5E" w:rsidRDefault="00462B5E" w:rsidP="00462B5E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10. Горелов Н.А. У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правление человеческими ресурсами: стратегии и инновации : учебник и практикум для вузов 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 М.:  Юрайт, 2024.- 309 с.</w:t>
      </w:r>
    </w:p>
    <w:p w14:paraId="39466215" w14:textId="77777777" w:rsidR="00462B5E" w:rsidRPr="00462B5E" w:rsidRDefault="00462B5E" w:rsidP="00462B5E">
      <w:pPr>
        <w:spacing w:after="0"/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11. </w:t>
      </w:r>
      <w:r w:rsidRPr="00462B5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Дейнека А.В., Беспалько В.А.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У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правление человеческими ресурсами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 -М.: </w:t>
      </w:r>
      <w:r w:rsidRPr="00462B5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ИТК Дашков и К</w:t>
      </w:r>
      <w:r w:rsidRPr="00462B5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  <w:t>, 2023. – 204  с.</w:t>
      </w:r>
    </w:p>
    <w:p w14:paraId="5C2D9DAA" w14:textId="77777777" w:rsidR="00462B5E" w:rsidRPr="00462B5E" w:rsidRDefault="00462B5E" w:rsidP="00462B5E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eastAsia="Calibri" w:hAnsi="Times New Roman" w:cs="Times New Roman"/>
          <w:bCs/>
          <w:color w:val="000000" w:themeColor="text1"/>
          <w:kern w:val="2"/>
          <w:sz w:val="20"/>
          <w:szCs w:val="20"/>
          <w:lang w:val="kk-KZ" w:eastAsia="ru-RU"/>
          <w14:ligatures w14:val="standardContextual"/>
        </w:rPr>
        <w:t>12. Жатқанбаев Е.Б., Смағулова Г.С. Экономиканы мемлекеттік реттеу- Алматы: Қазақ университеті, 2023 – 200 б.</w:t>
      </w:r>
    </w:p>
    <w:p w14:paraId="5D065B06" w14:textId="77777777" w:rsidR="00462B5E" w:rsidRPr="00462B5E" w:rsidRDefault="00462B5E" w:rsidP="00462B5E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13. Искаков Б.М., Бекбусинова Г.К. Адам ресурстарын басқару – Алматы:</w:t>
      </w:r>
      <w:r w:rsidRPr="00462B5E">
        <w:rPr>
          <w:rFonts w:ascii="Times New Roman" w:hAnsi="Times New Roman" w:cs="Times New Roman"/>
          <w:color w:val="4D5156"/>
          <w:sz w:val="20"/>
          <w:szCs w:val="20"/>
          <w:shd w:val="clear" w:color="auto" w:fill="FFFFFF"/>
          <w:lang w:val="kk-KZ"/>
        </w:rPr>
        <w:t xml:space="preserve"> ADAL </w:t>
      </w:r>
      <w:r w:rsidRPr="00462B5E">
        <w:rPr>
          <w:rFonts w:ascii="Times New Roman" w:hAnsi="Times New Roman" w:cs="Times New Roman"/>
          <w:color w:val="5F6368"/>
          <w:sz w:val="20"/>
          <w:szCs w:val="20"/>
          <w:shd w:val="clear" w:color="auto" w:fill="FFFFFF"/>
          <w:lang w:val="kk-KZ"/>
        </w:rPr>
        <w:t>KITAP</w:t>
      </w:r>
      <w:r w:rsidRPr="00462B5E">
        <w:rPr>
          <w:rFonts w:ascii="Times New Roman" w:hAnsi="Times New Roman" w:cs="Times New Roman"/>
          <w:color w:val="4D5156"/>
          <w:sz w:val="20"/>
          <w:szCs w:val="20"/>
          <w:shd w:val="clear" w:color="auto" w:fill="FFFFFF"/>
          <w:lang w:val="kk-KZ"/>
        </w:rPr>
        <w:t>, 2022. - 175 б.</w:t>
      </w:r>
    </w:p>
    <w:p w14:paraId="57DECDF8" w14:textId="77777777" w:rsidR="00462B5E" w:rsidRPr="00462B5E" w:rsidRDefault="00462B5E" w:rsidP="00462B5E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14. Карташова Л.В.  </w:t>
      </w:r>
      <w:bookmarkStart w:id="2" w:name="_Hlk176794630"/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У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правление человеческими ресурсами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 </w:t>
      </w:r>
      <w:bookmarkEnd w:id="2"/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 М.: НИЦ ИНФРА, 2023. -235 с.</w:t>
      </w:r>
    </w:p>
    <w:p w14:paraId="1990864D" w14:textId="77777777" w:rsidR="00462B5E" w:rsidRPr="00462B5E" w:rsidRDefault="00462B5E" w:rsidP="00462B5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15. Лапшова О.А. 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Управление человеческими ресурсами : учебник и практикум для вузов 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– М.:  Юрайт, 2024.- 406 с.</w:t>
      </w:r>
    </w:p>
    <w:p w14:paraId="587CFE54" w14:textId="77777777" w:rsidR="00462B5E" w:rsidRPr="00462B5E" w:rsidRDefault="00462B5E" w:rsidP="00462B5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kk-KZ"/>
        </w:rPr>
        <w:t xml:space="preserve">16. </w:t>
      </w:r>
      <w:r w:rsidRPr="00462B5E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Одегов Ю.Г., Лукашевич В.В.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Управление человеческими ресурсами 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 </w:t>
      </w:r>
      <w:bookmarkStart w:id="3" w:name="_Hlk176795319"/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М.:  КноРус, 2024.- 224 с</w:t>
      </w:r>
      <w:bookmarkEnd w:id="3"/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.</w:t>
      </w:r>
    </w:p>
    <w:p w14:paraId="4E35CBDC" w14:textId="77777777" w:rsidR="00462B5E" w:rsidRPr="00462B5E" w:rsidRDefault="00462B5E" w:rsidP="00462B5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 w:rsidRPr="00462B5E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>17. Пугачев В.П., Опарина Н.Н.</w:t>
      </w:r>
      <w:r w:rsidRPr="00462B5E">
        <w:rPr>
          <w:rFonts w:ascii="Verdana" w:eastAsia="Times New Roman" w:hAnsi="Verdana" w:cs="Times New Roman"/>
          <w:b/>
          <w:bCs/>
          <w:color w:val="B60000"/>
          <w:kern w:val="36"/>
          <w:sz w:val="27"/>
          <w:szCs w:val="27"/>
          <w:lang w:eastAsia="ru-RU"/>
        </w:rPr>
        <w:t xml:space="preserve"> </w:t>
      </w:r>
      <w:r w:rsidRPr="00462B5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eastAsia="ru-RU"/>
        </w:rPr>
        <w:t>Стратегическое управление человеческими ресурсами организации. (Магистратура). Учебное пособие</w:t>
      </w:r>
      <w:r w:rsidRPr="00462B5E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  <w:t>-</w:t>
      </w:r>
      <w:r w:rsidRPr="00462B5E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М.:  КноРус, 2022.- 208 с</w:t>
      </w:r>
    </w:p>
    <w:p w14:paraId="00DA8D9E" w14:textId="77777777" w:rsidR="00462B5E" w:rsidRPr="00462B5E" w:rsidRDefault="00462B5E" w:rsidP="00462B5E">
      <w:pPr>
        <w:keepNext/>
        <w:keepLines/>
        <w:shd w:val="clear" w:color="auto" w:fill="FFFFFF"/>
        <w:spacing w:after="0" w:line="240" w:lineRule="auto"/>
        <w:outlineLvl w:val="0"/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</w:pPr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18. </w:t>
      </w:r>
      <w:proofErr w:type="spellStart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Санталова</w:t>
      </w:r>
      <w:proofErr w:type="spellEnd"/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 xml:space="preserve"> М.С., Борщева А.В.</w:t>
      </w:r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 </w:t>
      </w:r>
      <w:r w:rsidRPr="00462B5E">
        <w:rPr>
          <w:rFonts w:ascii="Times New Roman" w:eastAsia="Times New Roman" w:hAnsi="Times New Roman" w:cs="Times New Roman"/>
          <w:color w:val="B60000"/>
          <w:kern w:val="36"/>
          <w:sz w:val="20"/>
          <w:szCs w:val="20"/>
          <w:lang w:eastAsia="ru-RU"/>
        </w:rPr>
        <w:t>Управление человеческими ресурсами: реалии и перспективы развития:</w:t>
      </w:r>
      <w:r w:rsidRPr="00462B5E">
        <w:rPr>
          <w:rFonts w:ascii="Times New Roman" w:eastAsiaTheme="majorEastAsia" w:hAnsi="Times New Roman" w:cs="Times New Roman"/>
          <w:color w:val="000000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 М.: </w:t>
      </w:r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ИТК Дашков и К</w:t>
      </w:r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>, 2023. -388 с.</w:t>
      </w:r>
    </w:p>
    <w:p w14:paraId="5B779FF1" w14:textId="77777777" w:rsidR="00462B5E" w:rsidRPr="00462B5E" w:rsidRDefault="00462B5E" w:rsidP="00462B5E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14:ligatures w14:val="standardContextual"/>
        </w:rPr>
        <w:t>1</w:t>
      </w:r>
      <w:r w:rsidRPr="00462B5E">
        <w:rPr>
          <w:rFonts w:ascii="Times New Roman" w:eastAsiaTheme="majorEastAsia" w:hAnsi="Times New Roman" w:cs="Times New Roman"/>
          <w:color w:val="222222"/>
          <w:kern w:val="2"/>
          <w:sz w:val="20"/>
          <w:szCs w:val="20"/>
          <w:shd w:val="clear" w:color="auto" w:fill="FFFFFF"/>
          <w:lang w:val="kk-KZ"/>
          <w14:ligatures w14:val="standardContextual"/>
        </w:rPr>
        <w:t xml:space="preserve">9. </w:t>
      </w:r>
      <w:r w:rsidRPr="00462B5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Суслова И.П., Говорова А.В., Серпухова М.А. и др. </w:t>
      </w:r>
      <w:r w:rsidRPr="00462B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Сборник кейсов и практических заданий по управленческим дисциплинам для направления «Менеджмент». Выпуск 1</w:t>
      </w:r>
      <w:r w:rsidRPr="00462B5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462B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М.: Экономический факультет МГУ имени М. В. Ломоносова, 2024. </w:t>
      </w:r>
      <w:r w:rsidRPr="00462B5E"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-</w:t>
      </w:r>
      <w:r w:rsidRPr="00462B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80 с.</w:t>
      </w:r>
    </w:p>
    <w:p w14:paraId="173FCD93" w14:textId="77777777" w:rsidR="00462B5E" w:rsidRPr="00462B5E" w:rsidRDefault="00462B5E" w:rsidP="00462B5E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20. Шапиро С.А. - М.:  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Управление человеческими ресурсами </w:t>
      </w:r>
      <w:r w:rsidRPr="00462B5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-М.: КноРус, 2023.- 348 с.</w:t>
      </w:r>
    </w:p>
    <w:p w14:paraId="111A4CCA" w14:textId="05BE4A5C" w:rsidR="00D94681" w:rsidRDefault="00D94681" w:rsidP="00462B5E">
      <w:pPr>
        <w:spacing w:after="0" w:line="240" w:lineRule="auto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 w:eastAsia="ru-RU"/>
        </w:rPr>
      </w:pPr>
    </w:p>
    <w:p w14:paraId="3900A02C" w14:textId="77777777" w:rsidR="00D94681" w:rsidRPr="0075749D" w:rsidRDefault="00D94681" w:rsidP="00D94681">
      <w:pPr>
        <w:spacing w:after="0"/>
        <w:ind w:left="360"/>
        <w:contextualSpacing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75749D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80D9A10" w14:textId="77777777" w:rsidR="00D94681" w:rsidRPr="00C85C78" w:rsidRDefault="00D94681" w:rsidP="00D94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6CDC4F19" w14:textId="77777777" w:rsidR="00D94681" w:rsidRPr="00C85C78" w:rsidRDefault="00D94681" w:rsidP="00D94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5AD35283" w14:textId="77777777" w:rsidR="00D94681" w:rsidRPr="00C85C78" w:rsidRDefault="00D94681" w:rsidP="00D94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78116319" w14:textId="77777777" w:rsidR="00D94681" w:rsidRPr="00C85C78" w:rsidRDefault="00D94681" w:rsidP="00D94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4E13AB6B" w14:textId="77777777" w:rsidR="00D94681" w:rsidRPr="00C85C78" w:rsidRDefault="00D94681" w:rsidP="00D94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63A41317" w14:textId="77777777" w:rsidR="00D94681" w:rsidRPr="00C85C78" w:rsidRDefault="00D94681" w:rsidP="00D9468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87D56CA" w14:textId="77777777" w:rsidR="00D94681" w:rsidRPr="00C85C78" w:rsidRDefault="00D94681" w:rsidP="00D9468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85C78">
        <w:rPr>
          <w:rFonts w:ascii="Times New Roman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6B773967" w14:textId="77777777" w:rsidR="00D94681" w:rsidRPr="00C85C78" w:rsidRDefault="00D94681" w:rsidP="00D9468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</w:p>
    <w:p w14:paraId="57E22332" w14:textId="77777777" w:rsidR="00D94681" w:rsidRDefault="00D94681" w:rsidP="00D94681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85C78">
        <w:rPr>
          <w:rFonts w:ascii="Times New Roman" w:hAnsi="Times New Roman" w:cs="Times New Roman"/>
          <w:b/>
          <w:sz w:val="20"/>
          <w:szCs w:val="20"/>
        </w:rPr>
        <w:t>Интернет-</w:t>
      </w:r>
      <w:proofErr w:type="spellStart"/>
      <w:r w:rsidRPr="00C85C78">
        <w:rPr>
          <w:rFonts w:ascii="Times New Roman" w:hAnsi="Times New Roman" w:cs="Times New Roman"/>
          <w:b/>
          <w:sz w:val="20"/>
          <w:szCs w:val="20"/>
        </w:rPr>
        <w:t>ресурстар</w:t>
      </w:r>
      <w:proofErr w:type="spellEnd"/>
      <w:r w:rsidRPr="00C85C78">
        <w:rPr>
          <w:rFonts w:ascii="Times New Roman" w:hAnsi="Times New Roman" w:cs="Times New Roman"/>
          <w:b/>
          <w:sz w:val="20"/>
          <w:szCs w:val="20"/>
        </w:rPr>
        <w:t>:</w:t>
      </w:r>
    </w:p>
    <w:p w14:paraId="196D1BE5" w14:textId="77777777" w:rsidR="00D94681" w:rsidRPr="003D60D8" w:rsidRDefault="00D94681" w:rsidP="00D94681">
      <w:pPr>
        <w:tabs>
          <w:tab w:val="left" w:pos="317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0"/>
    <w:p w14:paraId="09D3D4CB" w14:textId="77777777" w:rsidR="00D94681" w:rsidRPr="003D60D8" w:rsidRDefault="00000000" w:rsidP="00D9468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5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https://urait.ru/bcode/536380</w:t>
        </w:r>
      </w:hyperlink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 </w:t>
      </w:r>
    </w:p>
    <w:p w14:paraId="1E9736DB" w14:textId="77777777" w:rsidR="0069360C" w:rsidRPr="003D60D8" w:rsidRDefault="00D94681" w:rsidP="00D94681">
      <w:pPr>
        <w:numPr>
          <w:ilvl w:val="0"/>
          <w:numId w:val="2"/>
        </w:numPr>
        <w:contextualSpacing/>
        <w:rPr>
          <w:rFonts w:ascii="Times New Roman" w:hAnsi="Times New Roman" w:cs="Times New Roman"/>
          <w:sz w:val="20"/>
          <w:szCs w:val="20"/>
          <w:lang w:val="kk-KZ"/>
        </w:rPr>
      </w:pPr>
      <w:r w:rsidRPr="003D60D8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  <w:lang w:val="kk-KZ"/>
        </w:rPr>
        <w:t>URL: </w:t>
      </w:r>
      <w:hyperlink r:id="rId6" w:tgtFrame="_blank" w:history="1">
        <w:r w:rsidRPr="003D60D8">
          <w:rPr>
            <w:rFonts w:ascii="Times New Roman" w:hAnsi="Times New Roman" w:cs="Times New Roman"/>
            <w:color w:val="486C97"/>
            <w:sz w:val="20"/>
            <w:szCs w:val="20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https://urait.ru/bcode/531992</w:t>
        </w:r>
      </w:hyperlink>
    </w:p>
    <w:p w14:paraId="2A20317F" w14:textId="77777777" w:rsidR="00D94681" w:rsidRPr="00C85C78" w:rsidRDefault="00D94681" w:rsidP="00D946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017A8FC" w14:textId="77777777" w:rsidR="00D94681" w:rsidRPr="00C85C78" w:rsidRDefault="00D94681" w:rsidP="00D9468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16BA88D7" w14:textId="77777777" w:rsidR="00D94681" w:rsidRPr="00C85C78" w:rsidRDefault="00D94681" w:rsidP="00D9468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27</w:t>
      </w:r>
    </w:p>
    <w:p w14:paraId="3BE97247" w14:textId="2F8BE643" w:rsidR="00D94681" w:rsidRDefault="00D94681" w:rsidP="00D94681">
      <w:pPr>
        <w:rPr>
          <w:lang w:val="kk-KZ"/>
        </w:rPr>
      </w:pPr>
      <w:r w:rsidRPr="00C85C7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 xml:space="preserve">2.  Дәріс залы –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228</w:t>
      </w:r>
    </w:p>
    <w:p w14:paraId="61C1173C" w14:textId="77777777" w:rsidR="00D94681" w:rsidRPr="00D94681" w:rsidRDefault="00D94681">
      <w:pPr>
        <w:rPr>
          <w:lang w:val="kk-KZ"/>
        </w:rPr>
      </w:pPr>
    </w:p>
    <w:sectPr w:rsidR="00D94681" w:rsidRPr="00D9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F6E12"/>
    <w:multiLevelType w:val="hybridMultilevel"/>
    <w:tmpl w:val="4A8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D25A0"/>
    <w:multiLevelType w:val="hybridMultilevel"/>
    <w:tmpl w:val="C39811C2"/>
    <w:lvl w:ilvl="0" w:tplc="F858CBE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50C1D"/>
    <w:multiLevelType w:val="hybridMultilevel"/>
    <w:tmpl w:val="F32A503A"/>
    <w:lvl w:ilvl="0" w:tplc="B94E8F60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632338">
    <w:abstractNumId w:val="2"/>
  </w:num>
  <w:num w:numId="2" w16cid:durableId="1343240075">
    <w:abstractNumId w:val="1"/>
  </w:num>
  <w:num w:numId="3" w16cid:durableId="55273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34"/>
    <w:rsid w:val="000965B3"/>
    <w:rsid w:val="00161CA8"/>
    <w:rsid w:val="001632AF"/>
    <w:rsid w:val="00310446"/>
    <w:rsid w:val="003E6D87"/>
    <w:rsid w:val="00462B5E"/>
    <w:rsid w:val="00680DDE"/>
    <w:rsid w:val="0069360C"/>
    <w:rsid w:val="00C05A34"/>
    <w:rsid w:val="00D9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E75C"/>
  <w15:chartTrackingRefBased/>
  <w15:docId w15:val="{31FEDA4A-3C04-4D97-B172-C3F1C92C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D87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31992" TargetMode="External"/><Relationship Id="rId5" Type="http://schemas.openxmlformats.org/officeDocument/2006/relationships/hyperlink" Target="https://urait.ru/bcode/53638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1984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4</cp:revision>
  <dcterms:created xsi:type="dcterms:W3CDTF">2024-09-09T11:48:00Z</dcterms:created>
  <dcterms:modified xsi:type="dcterms:W3CDTF">2024-09-10T01:35:00Z</dcterms:modified>
</cp:coreProperties>
</file>